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B371" w14:textId="77777777" w:rsidR="00F920C7" w:rsidRPr="001467F7" w:rsidRDefault="00F920C7" w:rsidP="00CE66F1">
      <w:pPr>
        <w:spacing w:after="0" w:line="240" w:lineRule="auto"/>
        <w:ind w:left="-426"/>
        <w:jc w:val="center"/>
        <w:rPr>
          <w:rFonts w:ascii="Aptos" w:hAnsi="Aptos" w:cs="Times New Roman"/>
          <w:b/>
          <w:caps/>
          <w:color w:val="1F4E79" w:themeColor="accent5" w:themeShade="80"/>
          <w:sz w:val="24"/>
          <w:szCs w:val="24"/>
        </w:rPr>
      </w:pPr>
    </w:p>
    <w:p w14:paraId="0BF8A94B" w14:textId="77777777" w:rsidR="00CE66F1" w:rsidRDefault="00CE66F1" w:rsidP="00BD1357">
      <w:pPr>
        <w:spacing w:after="0" w:line="360" w:lineRule="auto"/>
        <w:jc w:val="center"/>
        <w:rPr>
          <w:rFonts w:ascii="Aptos" w:hAnsi="Aptos" w:cs="Times New Roman"/>
          <w:b/>
          <w:caps/>
          <w:color w:val="1F4E79" w:themeColor="accent5" w:themeShade="80"/>
          <w:sz w:val="32"/>
          <w:szCs w:val="32"/>
        </w:rPr>
      </w:pPr>
    </w:p>
    <w:p w14:paraId="02F3CBB3" w14:textId="07EAC07A" w:rsidR="00D65851" w:rsidRPr="001467F7" w:rsidRDefault="0091186D" w:rsidP="00BD1357">
      <w:pPr>
        <w:spacing w:after="0" w:line="360" w:lineRule="auto"/>
        <w:jc w:val="center"/>
        <w:rPr>
          <w:rFonts w:ascii="Aptos" w:hAnsi="Aptos" w:cs="Times New Roman"/>
          <w:b/>
          <w:caps/>
          <w:color w:val="1F4E79" w:themeColor="accent5" w:themeShade="80"/>
          <w:sz w:val="32"/>
          <w:szCs w:val="32"/>
        </w:rPr>
      </w:pPr>
      <w:r>
        <w:rPr>
          <w:rFonts w:ascii="Aptos" w:hAnsi="Aptos" w:cs="Times New Roman"/>
          <w:b/>
          <w:caps/>
          <w:color w:val="1F4E79" w:themeColor="accent5" w:themeShade="80"/>
          <w:sz w:val="32"/>
          <w:szCs w:val="32"/>
        </w:rPr>
        <w:t xml:space="preserve">AGENDA </w:t>
      </w:r>
    </w:p>
    <w:p w14:paraId="5DDA36BE" w14:textId="77777777" w:rsidR="00F920C7" w:rsidRPr="001467F7" w:rsidRDefault="00F920C7" w:rsidP="00CE66F1">
      <w:pPr>
        <w:spacing w:after="0" w:line="240" w:lineRule="auto"/>
        <w:ind w:left="-142"/>
        <w:jc w:val="center"/>
        <w:rPr>
          <w:rFonts w:ascii="Aptos" w:hAnsi="Aptos" w:cs="Times New Roman"/>
          <w:b/>
          <w:caps/>
          <w:color w:val="1F4E79" w:themeColor="accent5" w:themeShade="80"/>
          <w:sz w:val="24"/>
          <w:szCs w:val="24"/>
        </w:rPr>
      </w:pPr>
    </w:p>
    <w:p w14:paraId="543D33CE" w14:textId="77777777" w:rsidR="00C327F5" w:rsidRDefault="004138E7" w:rsidP="00BD1357">
      <w:pPr>
        <w:spacing w:after="0" w:line="360" w:lineRule="auto"/>
        <w:jc w:val="center"/>
        <w:rPr>
          <w:rFonts w:ascii="Aptos" w:hAnsi="Aptos" w:cs="Times New Roman"/>
          <w:b/>
          <w:bCs/>
          <w:color w:val="1F4E79" w:themeColor="accent5" w:themeShade="80"/>
          <w:sz w:val="24"/>
          <w:szCs w:val="24"/>
        </w:rPr>
      </w:pPr>
      <w:r w:rsidRPr="001467F7">
        <w:rPr>
          <w:rFonts w:ascii="Aptos" w:hAnsi="Aptos" w:cs="Times New Roman"/>
          <w:b/>
          <w:color w:val="1F4E79" w:themeColor="accent5" w:themeShade="80"/>
          <w:sz w:val="24"/>
          <w:szCs w:val="24"/>
        </w:rPr>
        <w:t>International conference</w:t>
      </w:r>
      <w:r w:rsidR="007C299B" w:rsidRPr="001467F7">
        <w:rPr>
          <w:rFonts w:ascii="Aptos" w:hAnsi="Aptos" w:cs="Times New Roman"/>
          <w:b/>
          <w:bCs/>
          <w:color w:val="1F4E79" w:themeColor="accent5" w:themeShade="80"/>
          <w:sz w:val="24"/>
          <w:szCs w:val="24"/>
        </w:rPr>
        <w:t xml:space="preserve"> </w:t>
      </w:r>
    </w:p>
    <w:p w14:paraId="4CADCA29" w14:textId="77777777" w:rsidR="00507E17" w:rsidRDefault="00F6793F" w:rsidP="00507E17">
      <w:pPr>
        <w:spacing w:after="0" w:line="360" w:lineRule="auto"/>
        <w:jc w:val="center"/>
        <w:rPr>
          <w:rFonts w:ascii="Aptos" w:hAnsi="Aptos" w:cs="Times New Roman"/>
          <w:b/>
          <w:bCs/>
          <w:color w:val="1F4E79" w:themeColor="accent5" w:themeShade="80"/>
          <w:sz w:val="24"/>
          <w:szCs w:val="24"/>
        </w:rPr>
      </w:pPr>
      <w:r w:rsidRPr="001467F7">
        <w:rPr>
          <w:rFonts w:ascii="Aptos" w:hAnsi="Aptos" w:cs="Times New Roman"/>
          <w:b/>
          <w:bCs/>
          <w:color w:val="1F4E79" w:themeColor="accent5" w:themeShade="80"/>
          <w:sz w:val="24"/>
          <w:szCs w:val="24"/>
        </w:rPr>
        <w:t>"Meaningful Youth Participation in Democratic Life"</w:t>
      </w:r>
    </w:p>
    <w:p w14:paraId="3BB43B19" w14:textId="626EB8A0" w:rsidR="002E250D" w:rsidRPr="00507E17" w:rsidRDefault="005A23AD" w:rsidP="00507E17">
      <w:pPr>
        <w:spacing w:after="0" w:line="360" w:lineRule="auto"/>
        <w:jc w:val="center"/>
        <w:rPr>
          <w:rFonts w:ascii="Aptos" w:hAnsi="Aptos" w:cs="Times New Roman"/>
          <w:b/>
          <w:bCs/>
          <w:color w:val="1F4E79" w:themeColor="accent5" w:themeShade="80"/>
          <w:sz w:val="24"/>
          <w:szCs w:val="24"/>
        </w:rPr>
      </w:pPr>
      <w:r w:rsidRPr="001467F7">
        <w:rPr>
          <w:rFonts w:ascii="Aptos" w:hAnsi="Aptos" w:cs="Times New Roman"/>
          <w:color w:val="1F4E79" w:themeColor="accent5" w:themeShade="80"/>
          <w:sz w:val="24"/>
          <w:szCs w:val="24"/>
        </w:rPr>
        <w:br/>
      </w:r>
      <w:r w:rsidRPr="001467F7">
        <w:rPr>
          <w:rFonts w:ascii="Aptos" w:hAnsi="Aptos" w:cs="Times New Roman"/>
          <w:b/>
          <w:color w:val="1F4E79" w:themeColor="accent5" w:themeShade="80"/>
          <w:sz w:val="24"/>
          <w:szCs w:val="24"/>
        </w:rPr>
        <w:t>Location:</w:t>
      </w:r>
      <w:r w:rsidR="00C327F5" w:rsidRPr="00C327F5">
        <w:t xml:space="preserve"> </w:t>
      </w:r>
      <w:r w:rsidR="00C327F5" w:rsidRPr="00C327F5">
        <w:rPr>
          <w:rFonts w:ascii="Aptos" w:hAnsi="Aptos" w:cs="Times New Roman"/>
          <w:b/>
          <w:color w:val="1F4E79" w:themeColor="accent5" w:themeShade="80"/>
          <w:sz w:val="24"/>
          <w:szCs w:val="24"/>
        </w:rPr>
        <w:t>Networking Premium Coworking Event Spaces (Gurko Theater) Sofia</w:t>
      </w:r>
      <w:r w:rsidRPr="001467F7">
        <w:rPr>
          <w:rFonts w:ascii="Aptos" w:hAnsi="Aptos" w:cs="Times New Roman"/>
          <w:color w:val="1F4E79" w:themeColor="accent5" w:themeShade="80"/>
          <w:sz w:val="24"/>
          <w:szCs w:val="24"/>
        </w:rPr>
        <w:br/>
      </w:r>
    </w:p>
    <w:p w14:paraId="2F94F6B4" w14:textId="65384B79" w:rsidR="005A23AD" w:rsidRPr="002E250D" w:rsidRDefault="005A23AD" w:rsidP="00CE66F1">
      <w:pPr>
        <w:spacing w:after="0" w:line="240" w:lineRule="auto"/>
        <w:jc w:val="center"/>
        <w:rPr>
          <w:rFonts w:ascii="Aptos" w:hAnsi="Aptos" w:cs="Times New Roman"/>
          <w:b/>
          <w:color w:val="1F4E79" w:themeColor="accent5" w:themeShade="80"/>
          <w:sz w:val="24"/>
          <w:szCs w:val="24"/>
        </w:rPr>
      </w:pPr>
      <w:r w:rsidRPr="001467F7">
        <w:rPr>
          <w:rFonts w:ascii="Aptos" w:hAnsi="Aptos" w:cs="Times New Roman"/>
          <w:b/>
          <w:color w:val="1F4E79" w:themeColor="accent5" w:themeShade="80"/>
          <w:sz w:val="24"/>
          <w:szCs w:val="24"/>
        </w:rPr>
        <w:t>Date:</w:t>
      </w:r>
      <w:r w:rsidRPr="001467F7">
        <w:rPr>
          <w:rFonts w:ascii="Aptos" w:hAnsi="Aptos" w:cs="Times New Roman"/>
          <w:color w:val="1F4E79" w:themeColor="accent5" w:themeShade="80"/>
          <w:sz w:val="24"/>
          <w:szCs w:val="24"/>
        </w:rPr>
        <w:t xml:space="preserve"> </w:t>
      </w:r>
      <w:r w:rsidR="00C327F5" w:rsidRPr="002E250D">
        <w:rPr>
          <w:rFonts w:ascii="Aptos" w:hAnsi="Aptos" w:cs="Times New Roman"/>
          <w:b/>
          <w:color w:val="1F4E79" w:themeColor="accent5" w:themeShade="80"/>
          <w:sz w:val="24"/>
          <w:szCs w:val="24"/>
        </w:rPr>
        <w:t>5-6.06.2025</w:t>
      </w:r>
    </w:p>
    <w:p w14:paraId="00C91F7A" w14:textId="77777777" w:rsidR="005A23AD" w:rsidRPr="001467F7" w:rsidRDefault="005A23AD" w:rsidP="00BD1357">
      <w:pPr>
        <w:spacing w:after="0" w:line="360" w:lineRule="auto"/>
        <w:rPr>
          <w:rFonts w:ascii="Aptos" w:hAnsi="Aptos" w:cs="Times New Roman"/>
          <w:color w:val="1F4E79" w:themeColor="accent5" w:themeShade="80"/>
          <w:sz w:val="24"/>
          <w:szCs w:val="2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222"/>
        <w:gridCol w:w="5670"/>
        <w:gridCol w:w="3173"/>
      </w:tblGrid>
      <w:tr w:rsidR="001467F7" w:rsidRPr="001467F7" w14:paraId="6314A6A0" w14:textId="77777777" w:rsidTr="00FD70D3">
        <w:tc>
          <w:tcPr>
            <w:tcW w:w="1222" w:type="dxa"/>
            <w:vAlign w:val="center"/>
          </w:tcPr>
          <w:p w14:paraId="3EC934C2" w14:textId="77777777" w:rsidR="005A23AD" w:rsidRPr="001467F7" w:rsidRDefault="005A23AD" w:rsidP="00BD1357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</w:pPr>
            <w:r w:rsidRPr="001467F7"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  <w:t>Time</w:t>
            </w:r>
          </w:p>
        </w:tc>
        <w:tc>
          <w:tcPr>
            <w:tcW w:w="5670" w:type="dxa"/>
            <w:vAlign w:val="center"/>
          </w:tcPr>
          <w:p w14:paraId="47F9BB1D" w14:textId="77777777" w:rsidR="005A23AD" w:rsidRPr="001467F7" w:rsidRDefault="005A23AD" w:rsidP="00BD1357">
            <w:pPr>
              <w:spacing w:line="360" w:lineRule="auto"/>
              <w:jc w:val="center"/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</w:pPr>
            <w:r w:rsidRPr="001467F7"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  <w:t>Activity</w:t>
            </w:r>
          </w:p>
        </w:tc>
        <w:tc>
          <w:tcPr>
            <w:tcW w:w="3173" w:type="dxa"/>
            <w:vAlign w:val="center"/>
          </w:tcPr>
          <w:p w14:paraId="528C1529" w14:textId="77777777" w:rsidR="005A23AD" w:rsidRPr="001467F7" w:rsidRDefault="005A23AD" w:rsidP="00BD1357">
            <w:pPr>
              <w:spacing w:line="360" w:lineRule="auto"/>
              <w:jc w:val="center"/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</w:pPr>
            <w:r w:rsidRPr="001467F7">
              <w:rPr>
                <w:rFonts w:ascii="Aptos" w:hAnsi="Aptos" w:cs="Times New Roman"/>
                <w:b/>
                <w:color w:val="1F4E79" w:themeColor="accent5" w:themeShade="80"/>
                <w:sz w:val="24"/>
                <w:szCs w:val="24"/>
              </w:rPr>
              <w:t>Description</w:t>
            </w:r>
          </w:p>
        </w:tc>
      </w:tr>
      <w:tr w:rsidR="002E250D" w:rsidRPr="001467F7" w14:paraId="64833A07" w14:textId="77777777" w:rsidTr="00FD70D3">
        <w:trPr>
          <w:trHeight w:val="724"/>
        </w:trPr>
        <w:tc>
          <w:tcPr>
            <w:tcW w:w="1222" w:type="dxa"/>
            <w:vAlign w:val="center"/>
          </w:tcPr>
          <w:p w14:paraId="06DFE078" w14:textId="77777777" w:rsidR="002E250D" w:rsidRDefault="002E250D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55B2FD3C" w14:textId="05B9AD72" w:rsidR="002E250D" w:rsidRPr="00BB1808" w:rsidRDefault="002E250D" w:rsidP="00BD1357">
            <w:pPr>
              <w:spacing w:line="360" w:lineRule="auto"/>
              <w:rPr>
                <w:rFonts w:ascii="Aptos" w:hAnsi="Aptos" w:cs="Times New Roman"/>
                <w:b/>
                <w:i/>
                <w:color w:val="1F4E79" w:themeColor="accent5" w:themeShade="80"/>
              </w:rPr>
            </w:pPr>
            <w:r w:rsidRPr="00BB1808">
              <w:rPr>
                <w:rFonts w:ascii="Aptos" w:hAnsi="Aptos" w:cs="Times New Roman"/>
                <w:b/>
                <w:i/>
                <w:color w:val="1F4E79" w:themeColor="accent5" w:themeShade="80"/>
              </w:rPr>
              <w:t>JUNE 5 – Thursday</w:t>
            </w:r>
          </w:p>
        </w:tc>
        <w:tc>
          <w:tcPr>
            <w:tcW w:w="3173" w:type="dxa"/>
            <w:vAlign w:val="center"/>
          </w:tcPr>
          <w:p w14:paraId="4EA9D5FD" w14:textId="77777777" w:rsidR="002E250D" w:rsidRPr="001467F7" w:rsidRDefault="002E250D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</w:tc>
      </w:tr>
      <w:tr w:rsidR="001467F7" w:rsidRPr="001467F7" w14:paraId="27BCC122" w14:textId="77777777" w:rsidTr="00FD70D3">
        <w:trPr>
          <w:trHeight w:val="724"/>
        </w:trPr>
        <w:tc>
          <w:tcPr>
            <w:tcW w:w="1222" w:type="dxa"/>
            <w:vAlign w:val="center"/>
          </w:tcPr>
          <w:p w14:paraId="7CC28072" w14:textId="2D306571" w:rsidR="00DE076A" w:rsidRPr="001467F7" w:rsidRDefault="004626EC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1</w:t>
            </w:r>
            <w:r>
              <w:rPr>
                <w:rFonts w:ascii="Aptos" w:hAnsi="Aptos" w:cs="Times New Roman"/>
                <w:color w:val="1F4E79" w:themeColor="accent5" w:themeShade="80"/>
                <w:lang w:val="bg-BG"/>
              </w:rPr>
              <w:t>2</w:t>
            </w: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:3</w:t>
            </w:r>
            <w:r w:rsidR="00C327F5">
              <w:rPr>
                <w:rFonts w:ascii="Aptos" w:hAnsi="Aptos" w:cs="Times New Roman"/>
                <w:color w:val="1F4E79" w:themeColor="accent5" w:themeShade="80"/>
                <w:lang w:val="en-US"/>
              </w:rPr>
              <w:t xml:space="preserve">0 </w:t>
            </w:r>
            <w:r w:rsidR="00DE076A" w:rsidRPr="001467F7">
              <w:rPr>
                <w:rFonts w:ascii="Aptos" w:hAnsi="Aptos" w:cs="Times New Roman"/>
                <w:color w:val="1F4E79" w:themeColor="accent5" w:themeShade="80"/>
              </w:rPr>
              <w:t>–</w:t>
            </w:r>
          </w:p>
          <w:p w14:paraId="2A493513" w14:textId="5592BD87" w:rsidR="005A23AD" w:rsidRPr="001467F7" w:rsidRDefault="00D2557C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14:0</w:t>
            </w:r>
            <w:r w:rsidR="00C327F5">
              <w:rPr>
                <w:rFonts w:ascii="Aptos" w:hAnsi="Aptos" w:cs="Times New Roman"/>
                <w:color w:val="1F4E79" w:themeColor="accent5" w:themeShade="80"/>
              </w:rPr>
              <w:t>0</w:t>
            </w:r>
            <w:r w:rsidR="00C327F5">
              <w:rPr>
                <w:rFonts w:ascii="Aptos" w:hAnsi="Aptos" w:cs="Times New Roman"/>
                <w:color w:val="1F4E79" w:themeColor="accent5" w:themeShade="80"/>
                <w:lang w:val="en-US"/>
              </w:rPr>
              <w:t>​</w:t>
            </w:r>
          </w:p>
        </w:tc>
        <w:tc>
          <w:tcPr>
            <w:tcW w:w="5670" w:type="dxa"/>
            <w:vAlign w:val="center"/>
          </w:tcPr>
          <w:p w14:paraId="5585D16C" w14:textId="7D67235B" w:rsidR="005A23AD" w:rsidRPr="004626EC" w:rsidRDefault="00D2557C" w:rsidP="00D2557C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US"/>
              </w:rPr>
            </w:pP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Registration and l</w:t>
            </w:r>
            <w:r w:rsidR="004626EC">
              <w:rPr>
                <w:rFonts w:ascii="Aptos" w:hAnsi="Aptos" w:cs="Times New Roman"/>
                <w:color w:val="1F4E79" w:themeColor="accent5" w:themeShade="80"/>
                <w:lang w:val="en-US"/>
              </w:rPr>
              <w:t xml:space="preserve">unch </w:t>
            </w:r>
          </w:p>
        </w:tc>
        <w:tc>
          <w:tcPr>
            <w:tcW w:w="3173" w:type="dxa"/>
            <w:vAlign w:val="center"/>
          </w:tcPr>
          <w:p w14:paraId="09C00CEE" w14:textId="11D1E0B2" w:rsidR="005A23AD" w:rsidRPr="001467F7" w:rsidRDefault="004626EC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Participant arriving and registration</w:t>
            </w:r>
          </w:p>
        </w:tc>
      </w:tr>
      <w:tr w:rsidR="001467F7" w:rsidRPr="001467F7" w14:paraId="1602EF52" w14:textId="77777777" w:rsidTr="00FD70D3">
        <w:tc>
          <w:tcPr>
            <w:tcW w:w="1222" w:type="dxa"/>
            <w:vAlign w:val="center"/>
          </w:tcPr>
          <w:p w14:paraId="2C60D640" w14:textId="18F11CF6" w:rsidR="00DE076A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 xml:space="preserve">14:00 </w:t>
            </w:r>
            <w:r w:rsidR="00DE076A" w:rsidRPr="001467F7">
              <w:rPr>
                <w:rFonts w:ascii="Aptos" w:hAnsi="Aptos" w:cs="Times New Roman"/>
                <w:color w:val="1F4E79" w:themeColor="accent5" w:themeShade="80"/>
              </w:rPr>
              <w:t>–</w:t>
            </w:r>
          </w:p>
          <w:p w14:paraId="52F6986C" w14:textId="47DF82E8" w:rsidR="003E6035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US"/>
              </w:rPr>
            </w:pP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14:20</w:t>
            </w:r>
          </w:p>
        </w:tc>
        <w:tc>
          <w:tcPr>
            <w:tcW w:w="5670" w:type="dxa"/>
            <w:vAlign w:val="center"/>
          </w:tcPr>
          <w:p w14:paraId="5942366F" w14:textId="4C6BBFA9" w:rsidR="003E6035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Official opening</w:t>
            </w:r>
          </w:p>
        </w:tc>
        <w:tc>
          <w:tcPr>
            <w:tcW w:w="3173" w:type="dxa"/>
            <w:vAlign w:val="center"/>
          </w:tcPr>
          <w:p w14:paraId="695C2416" w14:textId="77777777" w:rsidR="004626EC" w:rsidRDefault="005D7F0B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 xml:space="preserve">Greetings from </w:t>
            </w:r>
          </w:p>
          <w:p w14:paraId="37CF9312" w14:textId="3FAFDC05" w:rsidR="004626EC" w:rsidRPr="001467F7" w:rsidRDefault="004626EC" w:rsidP="004626EC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1467F7">
              <w:rPr>
                <w:rFonts w:ascii="Aptos" w:hAnsi="Aptos" w:cs="Times New Roman"/>
                <w:color w:val="1F4E79" w:themeColor="accent5" w:themeShade="80"/>
              </w:rPr>
              <w:t>Ministry of Education and Science</w:t>
            </w:r>
            <w:r w:rsidR="00D2557C">
              <w:rPr>
                <w:rFonts w:ascii="Aptos" w:hAnsi="Aptos" w:cs="Times New Roman"/>
                <w:color w:val="1F4E79" w:themeColor="accent5" w:themeShade="80"/>
              </w:rPr>
              <w:t xml:space="preserve"> </w:t>
            </w:r>
          </w:p>
          <w:p w14:paraId="7784AC36" w14:textId="14187691" w:rsidR="004626EC" w:rsidRDefault="004626EC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1467F7">
              <w:rPr>
                <w:rFonts w:ascii="Aptos" w:hAnsi="Aptos" w:cs="Times New Roman"/>
                <w:color w:val="1F4E79" w:themeColor="accent5" w:themeShade="80"/>
              </w:rPr>
              <w:t>Ministry of Youth and Sports</w:t>
            </w:r>
          </w:p>
          <w:p w14:paraId="5C2F19F0" w14:textId="76772097" w:rsidR="00C327F5" w:rsidRPr="004626EC" w:rsidRDefault="005D7F0B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US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Human Resource Development Center</w:t>
            </w:r>
          </w:p>
        </w:tc>
      </w:tr>
      <w:tr w:rsidR="001467F7" w:rsidRPr="001467F7" w14:paraId="67AD56B6" w14:textId="77777777" w:rsidTr="00FD70D3">
        <w:trPr>
          <w:trHeight w:val="2623"/>
        </w:trPr>
        <w:tc>
          <w:tcPr>
            <w:tcW w:w="1222" w:type="dxa"/>
            <w:vAlign w:val="center"/>
          </w:tcPr>
          <w:p w14:paraId="34BE0E03" w14:textId="716162A7" w:rsidR="00DE076A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14:20 –</w:t>
            </w:r>
          </w:p>
          <w:p w14:paraId="0F49F173" w14:textId="72218B15" w:rsidR="005A23AD" w:rsidRPr="001467F7" w:rsidRDefault="00911DE1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1467F7">
              <w:rPr>
                <w:rFonts w:ascii="Aptos" w:hAnsi="Aptos" w:cs="Times New Roman"/>
                <w:color w:val="1F4E79" w:themeColor="accent5" w:themeShade="80"/>
              </w:rPr>
              <w:t>16:00</w:t>
            </w:r>
          </w:p>
        </w:tc>
        <w:tc>
          <w:tcPr>
            <w:tcW w:w="5670" w:type="dxa"/>
            <w:vAlign w:val="center"/>
          </w:tcPr>
          <w:p w14:paraId="614774C6" w14:textId="2A0411D8" w:rsidR="00FB2D51" w:rsidRPr="00FB2D51" w:rsidRDefault="00FB2D51" w:rsidP="00BD1357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  <w:lang w:val="en-US"/>
              </w:rPr>
            </w:pPr>
            <w:r w:rsidRPr="00FB2D51">
              <w:rPr>
                <w:rFonts w:ascii="Aptos" w:hAnsi="Aptos" w:cs="Times New Roman"/>
                <w:b/>
                <w:color w:val="1F4E79" w:themeColor="accent5" w:themeShade="80"/>
                <w:lang w:val="en-US"/>
              </w:rPr>
              <w:t xml:space="preserve">PANEL 1 </w:t>
            </w:r>
          </w:p>
          <w:p w14:paraId="7AD87CCB" w14:textId="77777777" w:rsidR="005A23AD" w:rsidRDefault="00FB2D51" w:rsidP="00FB2D51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L</w:t>
            </w:r>
            <w:r w:rsidR="00C327F5">
              <w:rPr>
                <w:rFonts w:ascii="Aptos" w:hAnsi="Aptos" w:cs="Times New Roman"/>
                <w:color w:val="1F4E79" w:themeColor="accent5" w:themeShade="80"/>
              </w:rPr>
              <w:t xml:space="preserve">ocal youth work and </w:t>
            </w:r>
            <w:r>
              <w:rPr>
                <w:rFonts w:ascii="Aptos" w:hAnsi="Aptos" w:cs="Times New Roman"/>
                <w:color w:val="1F4E79" w:themeColor="accent5" w:themeShade="80"/>
              </w:rPr>
              <w:t xml:space="preserve">ensuring the youth perspective </w:t>
            </w:r>
          </w:p>
          <w:p w14:paraId="22C06FD1" w14:textId="1EE9651B" w:rsidR="004A1E64" w:rsidRPr="001467F7" w:rsidRDefault="004A1E64" w:rsidP="00FB2D51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</w:tc>
        <w:tc>
          <w:tcPr>
            <w:tcW w:w="3173" w:type="dxa"/>
            <w:vAlign w:val="center"/>
          </w:tcPr>
          <w:p w14:paraId="0C9C80D9" w14:textId="2EAEE2FF" w:rsidR="00C327F5" w:rsidRPr="00C327F5" w:rsidRDefault="00A56395" w:rsidP="00C327F5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r w:rsidR="00C327F5" w:rsidRPr="00C327F5">
              <w:rPr>
                <w:rFonts w:ascii="Aptos" w:hAnsi="Aptos" w:cs="Times New Roman"/>
                <w:color w:val="1F4E79" w:themeColor="accent5" w:themeShade="80"/>
              </w:rPr>
              <w:t>Judith Balog</w:t>
            </w:r>
            <w:r w:rsidR="0091186D">
              <w:rPr>
                <w:rFonts w:ascii="Aptos" w:hAnsi="Aptos" w:cs="Times New Roman"/>
                <w:color w:val="1F4E79" w:themeColor="accent5" w:themeShade="80"/>
              </w:rPr>
              <w:t>h</w:t>
            </w:r>
            <w:r w:rsidR="00C327F5" w:rsidRPr="00C327F5">
              <w:rPr>
                <w:rFonts w:ascii="Aptos" w:hAnsi="Aptos" w:cs="Times New Roman"/>
                <w:color w:val="1F4E79" w:themeColor="accent5" w:themeShade="80"/>
              </w:rPr>
              <w:t xml:space="preserve"> </w:t>
            </w:r>
            <w:r w:rsidR="00C327F5">
              <w:rPr>
                <w:rFonts w:ascii="Aptos" w:hAnsi="Aptos" w:cs="Times New Roman"/>
                <w:color w:val="1F4E79" w:themeColor="accent5" w:themeShade="80"/>
              </w:rPr>
              <w:t>- Strategic Coord</w:t>
            </w:r>
            <w:r w:rsidR="00FB2D51">
              <w:rPr>
                <w:rFonts w:ascii="Aptos" w:hAnsi="Aptos" w:cs="Times New Roman"/>
                <w:color w:val="1F4E79" w:themeColor="accent5" w:themeShade="80"/>
              </w:rPr>
              <w:t xml:space="preserve">inator of Europe Goes Local </w:t>
            </w:r>
          </w:p>
          <w:p w14:paraId="6A8D8887" w14:textId="374C895E" w:rsidR="00FB2D51" w:rsidRPr="00C327F5" w:rsidRDefault="00FB2D51" w:rsidP="00C327F5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-Committee of the Regions</w:t>
            </w:r>
          </w:p>
          <w:p w14:paraId="326AA954" w14:textId="480735A2" w:rsidR="00A41723" w:rsidRDefault="00FB2D51" w:rsidP="00A41723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r w:rsidR="00C327F5" w:rsidRPr="00C327F5">
              <w:rPr>
                <w:rFonts w:ascii="Aptos" w:hAnsi="Aptos" w:cs="Times New Roman"/>
                <w:color w:val="1F4E79" w:themeColor="accent5" w:themeShade="80"/>
              </w:rPr>
              <w:t xml:space="preserve">Human Resources Development </w:t>
            </w:r>
            <w:r w:rsidR="0091186D">
              <w:rPr>
                <w:rFonts w:ascii="Aptos" w:hAnsi="Aptos" w:cs="Times New Roman"/>
                <w:color w:val="1F4E79" w:themeColor="accent5" w:themeShade="80"/>
              </w:rPr>
              <w:t xml:space="preserve">Center </w:t>
            </w:r>
          </w:p>
          <w:p w14:paraId="65CC3F82" w14:textId="0D7888D7" w:rsidR="00911DE1" w:rsidRPr="001467F7" w:rsidRDefault="00FB2D51" w:rsidP="00DC2373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bookmarkStart w:id="0" w:name="_GoBack"/>
            <w:bookmarkEnd w:id="0"/>
            <w:r w:rsidR="00DC2373" w:rsidRPr="001467F7">
              <w:rPr>
                <w:rFonts w:ascii="Aptos" w:hAnsi="Aptos" w:cs="Times New Roman"/>
                <w:color w:val="1F4E79" w:themeColor="accent5" w:themeShade="80"/>
              </w:rPr>
              <w:t>Ministry of Youth and Sports</w:t>
            </w:r>
          </w:p>
        </w:tc>
      </w:tr>
      <w:tr w:rsidR="001467F7" w:rsidRPr="001467F7" w14:paraId="2AC48DCD" w14:textId="77777777" w:rsidTr="00FD70D3">
        <w:trPr>
          <w:trHeight w:val="859"/>
        </w:trPr>
        <w:tc>
          <w:tcPr>
            <w:tcW w:w="1222" w:type="dxa"/>
            <w:vAlign w:val="center"/>
          </w:tcPr>
          <w:p w14:paraId="396A224E" w14:textId="1B168FFD" w:rsidR="00F962DB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16.00-16.30</w:t>
            </w:r>
          </w:p>
        </w:tc>
        <w:tc>
          <w:tcPr>
            <w:tcW w:w="5670" w:type="dxa"/>
            <w:vAlign w:val="center"/>
          </w:tcPr>
          <w:p w14:paraId="37B2E107" w14:textId="7B5EBA6C" w:rsidR="00F962DB" w:rsidRPr="002E250D" w:rsidRDefault="0091186D" w:rsidP="00DD1552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 xml:space="preserve">Break </w:t>
            </w:r>
          </w:p>
        </w:tc>
        <w:tc>
          <w:tcPr>
            <w:tcW w:w="3173" w:type="dxa"/>
            <w:vAlign w:val="center"/>
          </w:tcPr>
          <w:p w14:paraId="646FA973" w14:textId="2CC418C2" w:rsidR="00F962DB" w:rsidRPr="002E250D" w:rsidRDefault="00F962DB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</w:tc>
      </w:tr>
      <w:tr w:rsidR="001467F7" w:rsidRPr="001467F7" w14:paraId="4D53373B" w14:textId="77777777" w:rsidTr="00FD70D3">
        <w:tc>
          <w:tcPr>
            <w:tcW w:w="1222" w:type="dxa"/>
            <w:vAlign w:val="center"/>
          </w:tcPr>
          <w:p w14:paraId="3B197AE0" w14:textId="77777777" w:rsidR="00C327F5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lastRenderedPageBreak/>
              <w:t>16.30-</w:t>
            </w:r>
          </w:p>
          <w:p w14:paraId="56C93950" w14:textId="1ECA53F8" w:rsidR="00F962DB" w:rsidRPr="001467F7" w:rsidRDefault="00C327F5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18.00</w:t>
            </w:r>
          </w:p>
        </w:tc>
        <w:tc>
          <w:tcPr>
            <w:tcW w:w="5670" w:type="dxa"/>
            <w:vAlign w:val="center"/>
          </w:tcPr>
          <w:p w14:paraId="6116EC36" w14:textId="77777777" w:rsidR="00FB2D51" w:rsidRPr="00A56395" w:rsidRDefault="00FB2D51" w:rsidP="0091186D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</w:rPr>
            </w:pPr>
            <w:r w:rsidRPr="00A56395">
              <w:rPr>
                <w:rFonts w:ascii="Aptos" w:hAnsi="Aptos" w:cs="Times New Roman"/>
                <w:b/>
                <w:color w:val="1F4E79" w:themeColor="accent5" w:themeShade="80"/>
              </w:rPr>
              <w:t>PANEL 2</w:t>
            </w:r>
          </w:p>
          <w:p w14:paraId="00A88B3B" w14:textId="62AEA5AE" w:rsidR="00F962DB" w:rsidRPr="002E250D" w:rsidRDefault="002E250D" w:rsidP="0091186D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2E250D">
              <w:rPr>
                <w:rFonts w:ascii="Aptos" w:hAnsi="Aptos" w:cs="Times New Roman"/>
                <w:color w:val="1F4E79" w:themeColor="accent5" w:themeShade="80"/>
              </w:rPr>
              <w:t>Programs and projects for youth participat</w:t>
            </w:r>
            <w:r w:rsidR="0091186D">
              <w:rPr>
                <w:rFonts w:ascii="Aptos" w:hAnsi="Aptos" w:cs="Times New Roman"/>
                <w:color w:val="1F4E79" w:themeColor="accent5" w:themeShade="80"/>
              </w:rPr>
              <w:t>ion, sharing of good practices</w:t>
            </w:r>
          </w:p>
        </w:tc>
        <w:tc>
          <w:tcPr>
            <w:tcW w:w="3173" w:type="dxa"/>
            <w:vAlign w:val="center"/>
          </w:tcPr>
          <w:p w14:paraId="528C24C8" w14:textId="2A8FA1F8" w:rsidR="00FB2D51" w:rsidRDefault="004A1E64" w:rsidP="00BB1808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r w:rsidR="00FB2D51" w:rsidRPr="00FB2D51">
              <w:rPr>
                <w:rFonts w:ascii="Aptos" w:hAnsi="Aptos" w:cs="Times New Roman"/>
                <w:color w:val="1F4E79" w:themeColor="accent5" w:themeShade="80"/>
              </w:rPr>
              <w:t>National Federation of Youth Associations</w:t>
            </w:r>
          </w:p>
          <w:p w14:paraId="63455F23" w14:textId="590E7B8F" w:rsidR="005075A7" w:rsidRDefault="005075A7" w:rsidP="00BB1808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-</w:t>
            </w:r>
            <w:r w:rsidRPr="00BB1808">
              <w:rPr>
                <w:rFonts w:ascii="Aptos" w:hAnsi="Aptos" w:cs="Times New Roman"/>
                <w:color w:val="1F4E79" w:themeColor="accent5" w:themeShade="80"/>
                <w:lang w:val="en-US"/>
              </w:rPr>
              <w:t>M</w:t>
            </w:r>
            <w:r>
              <w:rPr>
                <w:rFonts w:ascii="Aptos" w:hAnsi="Aptos" w:cs="Times New Roman"/>
                <w:color w:val="1F4E79" w:themeColor="accent5" w:themeShade="80"/>
                <w:lang w:val="en-US"/>
              </w:rPr>
              <w:t>unicipality of Kordelio-Evosmos</w:t>
            </w:r>
          </w:p>
          <w:p w14:paraId="34D39EAF" w14:textId="0915EBED" w:rsidR="00A56395" w:rsidRDefault="004A1E64" w:rsidP="00BB1808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r w:rsidR="00A56395">
              <w:rPr>
                <w:rFonts w:ascii="Aptos" w:hAnsi="Aptos" w:cs="Times New Roman"/>
                <w:color w:val="1F4E79" w:themeColor="accent5" w:themeShade="80"/>
              </w:rPr>
              <w:t>Youth Center – Vratsa</w:t>
            </w:r>
          </w:p>
          <w:p w14:paraId="5CF20FC1" w14:textId="713ACB3E" w:rsidR="00F962DB" w:rsidRPr="005075A7" w:rsidRDefault="004A1E64" w:rsidP="005075A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-</w:t>
            </w:r>
            <w:r w:rsidR="00A56395">
              <w:rPr>
                <w:rFonts w:ascii="Aptos" w:hAnsi="Aptos" w:cs="Times New Roman"/>
                <w:color w:val="1F4E79" w:themeColor="accent5" w:themeShade="80"/>
              </w:rPr>
              <w:t>Youth Center - Plovdiv</w:t>
            </w:r>
          </w:p>
        </w:tc>
      </w:tr>
      <w:tr w:rsidR="001467F7" w:rsidRPr="001467F7" w14:paraId="326F478F" w14:textId="77777777" w:rsidTr="00FD70D3">
        <w:tc>
          <w:tcPr>
            <w:tcW w:w="1222" w:type="dxa"/>
            <w:vAlign w:val="center"/>
          </w:tcPr>
          <w:p w14:paraId="7FE460F3" w14:textId="1769538D" w:rsidR="00AD3030" w:rsidRPr="001467F7" w:rsidRDefault="002E250D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18.00-19.00</w:t>
            </w:r>
          </w:p>
        </w:tc>
        <w:tc>
          <w:tcPr>
            <w:tcW w:w="5670" w:type="dxa"/>
            <w:vAlign w:val="center"/>
          </w:tcPr>
          <w:p w14:paraId="0E200476" w14:textId="36C5A987" w:rsidR="00CE694A" w:rsidRPr="002E250D" w:rsidRDefault="002E250D" w:rsidP="002E250D">
            <w:pPr>
              <w:jc w:val="both"/>
              <w:rPr>
                <w:rFonts w:ascii="Aptos" w:hAnsi="Aptos" w:cs="Times New Roman"/>
                <w:color w:val="1F4E79" w:themeColor="accent5" w:themeShade="80"/>
              </w:rPr>
            </w:pPr>
            <w:r w:rsidRPr="002E250D">
              <w:rPr>
                <w:rFonts w:ascii="Aptos" w:hAnsi="Aptos" w:cs="Times New Roman"/>
                <w:color w:val="1F4E79" w:themeColor="accent5" w:themeShade="80"/>
              </w:rPr>
              <w:t>Networking – Presentation of participating organizations/institutions</w:t>
            </w:r>
          </w:p>
          <w:p w14:paraId="7BD2B42E" w14:textId="26259677" w:rsidR="00EF12E6" w:rsidRPr="001467F7" w:rsidRDefault="00EF12E6" w:rsidP="002E250D">
            <w:pPr>
              <w:pStyle w:val="ListParagraph"/>
              <w:spacing w:line="360" w:lineRule="auto"/>
              <w:ind w:left="432"/>
              <w:rPr>
                <w:rFonts w:ascii="Aptos" w:hAnsi="Aptos" w:cs="Times New Roman"/>
                <w:color w:val="1F4E79" w:themeColor="accent5" w:themeShade="80"/>
              </w:rPr>
            </w:pPr>
          </w:p>
        </w:tc>
        <w:tc>
          <w:tcPr>
            <w:tcW w:w="3173" w:type="dxa"/>
            <w:vAlign w:val="center"/>
          </w:tcPr>
          <w:p w14:paraId="021BD520" w14:textId="77777777" w:rsidR="00F962DB" w:rsidRPr="001467F7" w:rsidRDefault="00F962DB" w:rsidP="00BD1357">
            <w:pPr>
              <w:spacing w:line="360" w:lineRule="auto"/>
              <w:rPr>
                <w:rFonts w:ascii="Aptos" w:hAnsi="Aptos" w:cs="Times New Roman"/>
                <w:b/>
                <w:bCs/>
                <w:color w:val="1F4E79" w:themeColor="accent5" w:themeShade="80"/>
              </w:rPr>
            </w:pPr>
          </w:p>
          <w:p w14:paraId="7227F7FA" w14:textId="77777777" w:rsidR="003C291C" w:rsidRPr="001467F7" w:rsidRDefault="003C291C" w:rsidP="00BD1357">
            <w:pPr>
              <w:spacing w:line="360" w:lineRule="auto"/>
              <w:rPr>
                <w:rFonts w:ascii="Aptos" w:hAnsi="Aptos" w:cs="Times New Roman"/>
                <w:bCs/>
                <w:color w:val="1F4E79" w:themeColor="accent5" w:themeShade="80"/>
              </w:rPr>
            </w:pPr>
          </w:p>
          <w:p w14:paraId="62D44949" w14:textId="5788121A" w:rsidR="003C291C" w:rsidRPr="001467F7" w:rsidRDefault="003C291C" w:rsidP="00BD1357">
            <w:pPr>
              <w:spacing w:line="360" w:lineRule="auto"/>
              <w:rPr>
                <w:rFonts w:ascii="Aptos" w:hAnsi="Aptos" w:cs="Times New Roman"/>
                <w:bCs/>
                <w:color w:val="1F4E79" w:themeColor="accent5" w:themeShade="80"/>
              </w:rPr>
            </w:pPr>
          </w:p>
          <w:p w14:paraId="56F9742A" w14:textId="3AEA49B2" w:rsidR="00F962DB" w:rsidRPr="001467F7" w:rsidRDefault="00F962DB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  <w:p w14:paraId="24CB9DBE" w14:textId="5A7A5854" w:rsidR="00E311AB" w:rsidRPr="001467F7" w:rsidRDefault="00E311AB" w:rsidP="001467F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US"/>
              </w:rPr>
            </w:pPr>
          </w:p>
        </w:tc>
      </w:tr>
      <w:tr w:rsidR="001467F7" w:rsidRPr="001467F7" w14:paraId="1C13D6FD" w14:textId="77777777" w:rsidTr="00910386">
        <w:trPr>
          <w:trHeight w:val="502"/>
        </w:trPr>
        <w:tc>
          <w:tcPr>
            <w:tcW w:w="1222" w:type="dxa"/>
            <w:vAlign w:val="center"/>
          </w:tcPr>
          <w:p w14:paraId="1D16CCDE" w14:textId="05E39CC8" w:rsidR="00E311AB" w:rsidRPr="001467F7" w:rsidRDefault="002E250D" w:rsidP="00BB1808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19.00</w:t>
            </w:r>
          </w:p>
        </w:tc>
        <w:tc>
          <w:tcPr>
            <w:tcW w:w="5670" w:type="dxa"/>
            <w:vAlign w:val="center"/>
          </w:tcPr>
          <w:p w14:paraId="0EBE3459" w14:textId="5B1173CF" w:rsidR="00CE694A" w:rsidRPr="004A1E64" w:rsidRDefault="002E250D" w:rsidP="00BB1808">
            <w:pPr>
              <w:spacing w:before="120" w:after="120" w:line="360" w:lineRule="auto"/>
              <w:rPr>
                <w:rFonts w:ascii="Aptos" w:hAnsi="Aptos" w:cs="Times New Roman"/>
                <w:bCs/>
                <w:color w:val="1F4E79" w:themeColor="accent5" w:themeShade="80"/>
              </w:rPr>
            </w:pPr>
            <w:r w:rsidRPr="002E250D">
              <w:rPr>
                <w:rFonts w:ascii="Aptos" w:hAnsi="Aptos" w:cs="Times New Roman"/>
                <w:bCs/>
                <w:color w:val="1F4E79" w:themeColor="accent5" w:themeShade="80"/>
              </w:rPr>
              <w:t>Dinner</w:t>
            </w:r>
            <w:r w:rsidR="00BB1808">
              <w:rPr>
                <w:rFonts w:ascii="Aptos" w:hAnsi="Aptos" w:cs="Times New Roman"/>
                <w:bCs/>
                <w:color w:val="1F4E79" w:themeColor="accent5" w:themeShade="80"/>
              </w:rPr>
              <w:t xml:space="preserve"> buffet </w:t>
            </w:r>
          </w:p>
        </w:tc>
        <w:tc>
          <w:tcPr>
            <w:tcW w:w="3173" w:type="dxa"/>
            <w:vAlign w:val="center"/>
          </w:tcPr>
          <w:p w14:paraId="31EAE9B0" w14:textId="6BEA097F" w:rsidR="00E311AB" w:rsidRPr="001467F7" w:rsidRDefault="00E311AB" w:rsidP="00BD1357">
            <w:pPr>
              <w:spacing w:line="360" w:lineRule="auto"/>
              <w:rPr>
                <w:rFonts w:ascii="Aptos" w:hAnsi="Aptos" w:cs="Times New Roman"/>
                <w:b/>
                <w:bCs/>
                <w:color w:val="1F4E79" w:themeColor="accent5" w:themeShade="80"/>
              </w:rPr>
            </w:pPr>
          </w:p>
        </w:tc>
      </w:tr>
      <w:tr w:rsidR="002E250D" w:rsidRPr="001467F7" w14:paraId="47456B0E" w14:textId="77777777" w:rsidTr="00FD70D3">
        <w:tc>
          <w:tcPr>
            <w:tcW w:w="1222" w:type="dxa"/>
            <w:vAlign w:val="center"/>
          </w:tcPr>
          <w:p w14:paraId="46CD7450" w14:textId="77777777" w:rsidR="002E250D" w:rsidRPr="001467F7" w:rsidRDefault="002E250D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52F3F2CF" w14:textId="0D2AC3D8" w:rsidR="002E250D" w:rsidRPr="00BB1808" w:rsidRDefault="002E250D" w:rsidP="00BD1357">
            <w:pPr>
              <w:spacing w:line="360" w:lineRule="auto"/>
              <w:rPr>
                <w:rFonts w:ascii="Aptos" w:hAnsi="Aptos" w:cs="Times New Roman"/>
                <w:b/>
                <w:i/>
                <w:color w:val="1F4E79" w:themeColor="accent5" w:themeShade="80"/>
              </w:rPr>
            </w:pPr>
            <w:r w:rsidRPr="00BB1808">
              <w:rPr>
                <w:rFonts w:ascii="Aptos" w:hAnsi="Aptos" w:cs="Times New Roman"/>
                <w:b/>
                <w:i/>
                <w:color w:val="1F4E79" w:themeColor="accent5" w:themeShade="80"/>
              </w:rPr>
              <w:t>JUNE 6 – Friday</w:t>
            </w:r>
          </w:p>
        </w:tc>
        <w:tc>
          <w:tcPr>
            <w:tcW w:w="3173" w:type="dxa"/>
            <w:vAlign w:val="center"/>
          </w:tcPr>
          <w:p w14:paraId="73B6CF8E" w14:textId="77777777" w:rsidR="002E250D" w:rsidRPr="001467F7" w:rsidRDefault="002E250D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</w:tc>
      </w:tr>
      <w:tr w:rsidR="001467F7" w:rsidRPr="001467F7" w14:paraId="22DDCA18" w14:textId="77777777" w:rsidTr="00FD70D3">
        <w:tc>
          <w:tcPr>
            <w:tcW w:w="1222" w:type="dxa"/>
            <w:vAlign w:val="center"/>
          </w:tcPr>
          <w:p w14:paraId="408B65F5" w14:textId="725525DE" w:rsidR="000E367B" w:rsidRPr="00FD70D3" w:rsidRDefault="00FD70D3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9.30-10.00</w:t>
            </w:r>
          </w:p>
        </w:tc>
        <w:tc>
          <w:tcPr>
            <w:tcW w:w="5670" w:type="dxa"/>
            <w:vAlign w:val="center"/>
          </w:tcPr>
          <w:p w14:paraId="3810AF02" w14:textId="6652C7C8" w:rsidR="004A1E64" w:rsidRPr="004A1E64" w:rsidRDefault="00DC2373" w:rsidP="00BD1357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</w:rPr>
            </w:pPr>
            <w:r>
              <w:rPr>
                <w:rFonts w:ascii="Aptos" w:hAnsi="Aptos" w:cs="Times New Roman"/>
                <w:b/>
                <w:color w:val="1F4E79" w:themeColor="accent5" w:themeShade="80"/>
              </w:rPr>
              <w:t>Key</w:t>
            </w:r>
            <w:r w:rsidR="004A1E64" w:rsidRPr="004A1E64">
              <w:rPr>
                <w:rFonts w:ascii="Aptos" w:hAnsi="Aptos" w:cs="Times New Roman"/>
                <w:b/>
                <w:color w:val="1F4E79" w:themeColor="accent5" w:themeShade="80"/>
              </w:rPr>
              <w:t xml:space="preserve">note speaker </w:t>
            </w:r>
          </w:p>
          <w:p w14:paraId="3ED3400C" w14:textId="5E387C98" w:rsidR="000E367B" w:rsidRPr="001467F7" w:rsidRDefault="00974B2A" w:rsidP="00BD1357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>Claudius S</w:t>
            </w:r>
            <w:r w:rsidR="00FD70D3">
              <w:rPr>
                <w:rFonts w:ascii="Aptos" w:hAnsi="Aptos" w:cs="Times New Roman"/>
                <w:color w:val="1F4E79" w:themeColor="accent5" w:themeShade="80"/>
              </w:rPr>
              <w:t>iebel – Chairman of the Advisory Board of Europe Goes Local</w:t>
            </w:r>
          </w:p>
        </w:tc>
        <w:tc>
          <w:tcPr>
            <w:tcW w:w="3173" w:type="dxa"/>
            <w:vAlign w:val="center"/>
          </w:tcPr>
          <w:p w14:paraId="494CD03F" w14:textId="520E2EB7" w:rsidR="000E367B" w:rsidRPr="001467F7" w:rsidRDefault="00FD70D3" w:rsidP="00FD70D3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FD70D3">
              <w:rPr>
                <w:rFonts w:ascii="Aptos" w:hAnsi="Aptos" w:cs="Times New Roman"/>
                <w:color w:val="1F4E79" w:themeColor="accent5" w:themeShade="80"/>
              </w:rPr>
              <w:t>European dimension in local youth work policy</w:t>
            </w:r>
          </w:p>
        </w:tc>
      </w:tr>
      <w:tr w:rsidR="001467F7" w:rsidRPr="001467F7" w14:paraId="447ECF4D" w14:textId="77777777" w:rsidTr="00910386">
        <w:trPr>
          <w:trHeight w:val="3580"/>
        </w:trPr>
        <w:tc>
          <w:tcPr>
            <w:tcW w:w="1222" w:type="dxa"/>
            <w:vAlign w:val="center"/>
          </w:tcPr>
          <w:p w14:paraId="319EBFF4" w14:textId="71F90B47" w:rsidR="005A23AD" w:rsidRPr="00FD70D3" w:rsidRDefault="00FD70D3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FD70D3">
              <w:rPr>
                <w:rFonts w:ascii="Aptos" w:hAnsi="Aptos" w:cs="Times New Roman"/>
                <w:color w:val="1F4E79" w:themeColor="accent5" w:themeShade="80"/>
              </w:rPr>
              <w:t>10:00 – 11:30</w:t>
            </w:r>
          </w:p>
        </w:tc>
        <w:tc>
          <w:tcPr>
            <w:tcW w:w="5670" w:type="dxa"/>
            <w:vAlign w:val="center"/>
          </w:tcPr>
          <w:p w14:paraId="2E109B1B" w14:textId="25876829" w:rsidR="004A1E64" w:rsidRPr="004A1E64" w:rsidRDefault="004A1E64" w:rsidP="00FD70D3">
            <w:pPr>
              <w:spacing w:line="360" w:lineRule="auto"/>
              <w:rPr>
                <w:rFonts w:ascii="Aptos" w:hAnsi="Aptos" w:cs="Times New Roman"/>
                <w:b/>
                <w:color w:val="1F4E79" w:themeColor="accent5" w:themeShade="80"/>
              </w:rPr>
            </w:pPr>
            <w:r w:rsidRPr="004A1E64">
              <w:rPr>
                <w:rFonts w:ascii="Aptos" w:hAnsi="Aptos" w:cs="Times New Roman"/>
                <w:b/>
                <w:color w:val="1F4E79" w:themeColor="accent5" w:themeShade="80"/>
              </w:rPr>
              <w:t>PANEL 3</w:t>
            </w:r>
          </w:p>
          <w:p w14:paraId="4AB269E6" w14:textId="7A866863" w:rsidR="00CE66F1" w:rsidRPr="00BB1808" w:rsidRDefault="00FD70D3" w:rsidP="00BB1808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FD70D3">
              <w:rPr>
                <w:rFonts w:ascii="Aptos" w:hAnsi="Aptos" w:cs="Times New Roman"/>
                <w:color w:val="1F4E79" w:themeColor="accent5" w:themeShade="80"/>
              </w:rPr>
              <w:t xml:space="preserve">Dimensions of quality in youth work </w:t>
            </w:r>
          </w:p>
        </w:tc>
        <w:tc>
          <w:tcPr>
            <w:tcW w:w="3173" w:type="dxa"/>
            <w:vAlign w:val="center"/>
          </w:tcPr>
          <w:p w14:paraId="597B4975" w14:textId="77777777" w:rsidR="003C291C" w:rsidRPr="00FD70D3" w:rsidRDefault="003C291C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</w:p>
          <w:p w14:paraId="463E4817" w14:textId="4066ACC3" w:rsidR="00D65602" w:rsidRDefault="00974B2A" w:rsidP="00FD70D3">
            <w:pPr>
              <w:pStyle w:val="ListParagraph"/>
              <w:numPr>
                <w:ilvl w:val="0"/>
                <w:numId w:val="24"/>
              </w:numPr>
              <w:rPr>
                <w:rFonts w:ascii="Aptos" w:hAnsi="Aptos" w:cs="Times New Roman"/>
                <w:color w:val="1F4E79" w:themeColor="accent5" w:themeShade="80"/>
              </w:rPr>
            </w:pPr>
            <w:r>
              <w:rPr>
                <w:rFonts w:ascii="Aptos" w:hAnsi="Aptos" w:cs="Times New Roman"/>
                <w:color w:val="1F4E79" w:themeColor="accent5" w:themeShade="80"/>
              </w:rPr>
              <w:t xml:space="preserve">Laszlo </w:t>
            </w:r>
            <w:proofErr w:type="spellStart"/>
            <w:r>
              <w:rPr>
                <w:rFonts w:ascii="Aptos" w:hAnsi="Aptos" w:cs="Times New Roman"/>
                <w:color w:val="1F4E79" w:themeColor="accent5" w:themeShade="80"/>
              </w:rPr>
              <w:t>Milutinovits</w:t>
            </w:r>
            <w:proofErr w:type="spellEnd"/>
            <w:r w:rsidR="004A1E64">
              <w:rPr>
                <w:rFonts w:ascii="Aptos" w:hAnsi="Aptos" w:cs="Times New Roman"/>
                <w:color w:val="1F4E79" w:themeColor="accent5" w:themeShade="80"/>
              </w:rPr>
              <w:t xml:space="preserve">- </w:t>
            </w:r>
            <w:r w:rsidR="004E25FA" w:rsidRPr="00D65602">
              <w:rPr>
                <w:rFonts w:ascii="Aptos" w:hAnsi="Aptos" w:cs="Times New Roman"/>
                <w:color w:val="1F4E79" w:themeColor="accent5" w:themeShade="80"/>
              </w:rPr>
              <w:t>Council of Europe Partners</w:t>
            </w:r>
            <w:r w:rsidR="004A1E64">
              <w:rPr>
                <w:rFonts w:ascii="Aptos" w:hAnsi="Aptos" w:cs="Times New Roman"/>
                <w:color w:val="1F4E79" w:themeColor="accent5" w:themeShade="80"/>
              </w:rPr>
              <w:t xml:space="preserve">hip in the Field of Youth Work </w:t>
            </w:r>
          </w:p>
          <w:p w14:paraId="3DFE9160" w14:textId="77777777" w:rsidR="004A1E64" w:rsidRDefault="004A1E64" w:rsidP="004A1E64">
            <w:pPr>
              <w:pStyle w:val="ListParagraph"/>
              <w:rPr>
                <w:rFonts w:ascii="Aptos" w:hAnsi="Aptos" w:cs="Times New Roman"/>
                <w:color w:val="1F4E79" w:themeColor="accent5" w:themeShade="80"/>
              </w:rPr>
            </w:pPr>
          </w:p>
          <w:p w14:paraId="4DC1ED8E" w14:textId="77777777" w:rsidR="004A1E64" w:rsidRPr="00D65602" w:rsidRDefault="004A1E64" w:rsidP="004A1E64">
            <w:pPr>
              <w:pStyle w:val="ListParagraph"/>
              <w:rPr>
                <w:rFonts w:ascii="Aptos" w:hAnsi="Aptos" w:cs="Times New Roman"/>
                <w:color w:val="1F4E79" w:themeColor="accent5" w:themeShade="80"/>
              </w:rPr>
            </w:pPr>
          </w:p>
          <w:p w14:paraId="5B509BDB" w14:textId="1C24E2C9" w:rsidR="00FD70D3" w:rsidRPr="00D65602" w:rsidRDefault="004E25FA" w:rsidP="00FD70D3">
            <w:pPr>
              <w:pStyle w:val="ListParagraph"/>
              <w:numPr>
                <w:ilvl w:val="0"/>
                <w:numId w:val="24"/>
              </w:numPr>
              <w:rPr>
                <w:rFonts w:ascii="Aptos" w:hAnsi="Aptos" w:cs="Times New Roman"/>
                <w:color w:val="1F4E79" w:themeColor="accent5" w:themeShade="80"/>
              </w:rPr>
            </w:pPr>
            <w:r w:rsidRPr="00D65602">
              <w:rPr>
                <w:rFonts w:ascii="Aptos" w:hAnsi="Aptos" w:cs="Times New Roman"/>
                <w:color w:val="1F4E79" w:themeColor="accent5" w:themeShade="80"/>
              </w:rPr>
              <w:t xml:space="preserve">Dr. Liliya Elenkova - Standards </w:t>
            </w:r>
            <w:r w:rsidR="00FD70D3" w:rsidRPr="00D65602">
              <w:rPr>
                <w:rFonts w:ascii="Aptos" w:hAnsi="Aptos" w:cs="Times New Roman"/>
                <w:color w:val="1F4E79" w:themeColor="accent5" w:themeShade="80"/>
              </w:rPr>
              <w:t>for quality youth policy;</w:t>
            </w:r>
          </w:p>
          <w:p w14:paraId="40A2E6D8" w14:textId="43E9B4A9" w:rsidR="003F49E0" w:rsidRPr="00FD70D3" w:rsidRDefault="003F49E0" w:rsidP="004A1E64">
            <w:pPr>
              <w:rPr>
                <w:rFonts w:ascii="Aptos" w:hAnsi="Aptos" w:cs="Times New Roman"/>
                <w:color w:val="1F4E79" w:themeColor="accent5" w:themeShade="80"/>
              </w:rPr>
            </w:pPr>
          </w:p>
        </w:tc>
      </w:tr>
      <w:tr w:rsidR="001467F7" w:rsidRPr="001467F7" w14:paraId="3FCFF65B" w14:textId="77777777" w:rsidTr="00910386">
        <w:trPr>
          <w:trHeight w:val="447"/>
        </w:trPr>
        <w:tc>
          <w:tcPr>
            <w:tcW w:w="1222" w:type="dxa"/>
            <w:vAlign w:val="center"/>
          </w:tcPr>
          <w:p w14:paraId="4FE386DA" w14:textId="3A7017AD" w:rsidR="005A23AD" w:rsidRPr="001467F7" w:rsidRDefault="00FD70D3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FD70D3">
              <w:rPr>
                <w:rFonts w:ascii="Aptos" w:hAnsi="Aptos" w:cs="Times New Roman"/>
                <w:bCs/>
                <w:color w:val="1F4E79" w:themeColor="accent5" w:themeShade="80"/>
              </w:rPr>
              <w:t>11:30 – 12:00</w:t>
            </w:r>
          </w:p>
        </w:tc>
        <w:tc>
          <w:tcPr>
            <w:tcW w:w="5670" w:type="dxa"/>
            <w:vAlign w:val="center"/>
          </w:tcPr>
          <w:p w14:paraId="6A8D5424" w14:textId="3760703D" w:rsidR="001467F7" w:rsidRPr="001467F7" w:rsidRDefault="00974B2A" w:rsidP="00974B2A">
            <w:pPr>
              <w:rPr>
                <w:rFonts w:ascii="Aptos" w:hAnsi="Aptos" w:cs="Times New Roman"/>
                <w:bCs/>
                <w:color w:val="1F4E79" w:themeColor="accent5" w:themeShade="80"/>
              </w:rPr>
            </w:pPr>
            <w:r>
              <w:rPr>
                <w:rFonts w:ascii="Aptos" w:hAnsi="Aptos" w:cs="Times New Roman"/>
                <w:bCs/>
                <w:color w:val="1F4E79" w:themeColor="accent5" w:themeShade="80"/>
              </w:rPr>
              <w:t xml:space="preserve">Break </w:t>
            </w:r>
          </w:p>
        </w:tc>
        <w:tc>
          <w:tcPr>
            <w:tcW w:w="3173" w:type="dxa"/>
            <w:vAlign w:val="center"/>
          </w:tcPr>
          <w:p w14:paraId="1A72C3D8" w14:textId="1CD9EBBC" w:rsidR="006A208B" w:rsidRPr="001467F7" w:rsidRDefault="006A208B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sz w:val="24"/>
                <w:szCs w:val="24"/>
              </w:rPr>
            </w:pPr>
          </w:p>
        </w:tc>
      </w:tr>
      <w:tr w:rsidR="001467F7" w:rsidRPr="001467F7" w14:paraId="2E12EC65" w14:textId="77777777" w:rsidTr="00FD70D3">
        <w:trPr>
          <w:trHeight w:val="621"/>
        </w:trPr>
        <w:tc>
          <w:tcPr>
            <w:tcW w:w="1222" w:type="dxa"/>
            <w:vAlign w:val="center"/>
          </w:tcPr>
          <w:p w14:paraId="72FF16CA" w14:textId="4A843679" w:rsidR="00293BEF" w:rsidRPr="00FD70D3" w:rsidRDefault="00FD70D3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</w:rPr>
            </w:pPr>
            <w:r w:rsidRPr="00FD70D3">
              <w:rPr>
                <w:rFonts w:ascii="Aptos" w:hAnsi="Aptos"/>
                <w:bCs/>
                <w:color w:val="1F4E79" w:themeColor="accent5" w:themeShade="80"/>
              </w:rPr>
              <w:t>12:00 – 13:00</w:t>
            </w:r>
          </w:p>
        </w:tc>
        <w:tc>
          <w:tcPr>
            <w:tcW w:w="5670" w:type="dxa"/>
            <w:vAlign w:val="center"/>
          </w:tcPr>
          <w:p w14:paraId="410DE4E9" w14:textId="77777777" w:rsidR="004A1E64" w:rsidRDefault="004A1E64" w:rsidP="00FD70D3">
            <w:pPr>
              <w:spacing w:line="360" w:lineRule="auto"/>
              <w:rPr>
                <w:rFonts w:ascii="Aptos" w:hAnsi="Aptos"/>
                <w:bCs/>
                <w:color w:val="1F4E79" w:themeColor="accent5" w:themeShade="80"/>
              </w:rPr>
            </w:pPr>
          </w:p>
          <w:p w14:paraId="3F1A42FC" w14:textId="71D67F01" w:rsidR="00293BEF" w:rsidRPr="00FD70D3" w:rsidRDefault="00974B2A" w:rsidP="00FD70D3">
            <w:pPr>
              <w:spacing w:line="360" w:lineRule="auto"/>
              <w:rPr>
                <w:rFonts w:ascii="Aptos" w:hAnsi="Aptos"/>
                <w:bCs/>
                <w:color w:val="1F4E79" w:themeColor="accent5" w:themeShade="80"/>
              </w:rPr>
            </w:pPr>
            <w:r>
              <w:rPr>
                <w:rFonts w:ascii="Aptos" w:hAnsi="Aptos"/>
                <w:bCs/>
                <w:color w:val="1F4E79" w:themeColor="accent5" w:themeShade="80"/>
              </w:rPr>
              <w:t>Evaluation and closure</w:t>
            </w:r>
          </w:p>
        </w:tc>
        <w:tc>
          <w:tcPr>
            <w:tcW w:w="3173" w:type="dxa"/>
            <w:vAlign w:val="center"/>
          </w:tcPr>
          <w:p w14:paraId="6D88A445" w14:textId="77777777" w:rsidR="00293BEF" w:rsidRPr="001467F7" w:rsidRDefault="00293BEF" w:rsidP="004A1E64">
            <w:pPr>
              <w:rPr>
                <w:rFonts w:ascii="Aptos" w:hAnsi="Aptos" w:cs="Times New Roman"/>
                <w:color w:val="1F4E79" w:themeColor="accent5" w:themeShade="80"/>
                <w:sz w:val="24"/>
                <w:szCs w:val="24"/>
              </w:rPr>
            </w:pPr>
          </w:p>
        </w:tc>
      </w:tr>
      <w:tr w:rsidR="00FD70D3" w:rsidRPr="001467F7" w14:paraId="3E2BA0DB" w14:textId="77777777" w:rsidTr="00FD70D3">
        <w:tc>
          <w:tcPr>
            <w:tcW w:w="1222" w:type="dxa"/>
            <w:vAlign w:val="center"/>
          </w:tcPr>
          <w:p w14:paraId="25B14C59" w14:textId="4F0D3753" w:rsidR="00FD70D3" w:rsidRPr="00FD70D3" w:rsidRDefault="00FD70D3" w:rsidP="00BD1357">
            <w:pPr>
              <w:spacing w:line="360" w:lineRule="auto"/>
              <w:rPr>
                <w:rFonts w:ascii="Aptos" w:hAnsi="Aptos"/>
                <w:bCs/>
                <w:color w:val="1F4E79" w:themeColor="accent5" w:themeShade="80"/>
              </w:rPr>
            </w:pPr>
            <w:r w:rsidRPr="00FD70D3">
              <w:rPr>
                <w:rFonts w:ascii="Aptos" w:hAnsi="Aptos"/>
                <w:bCs/>
                <w:color w:val="1F4E79" w:themeColor="accent5" w:themeShade="80"/>
              </w:rPr>
              <w:t>13:00</w:t>
            </w:r>
          </w:p>
        </w:tc>
        <w:tc>
          <w:tcPr>
            <w:tcW w:w="5670" w:type="dxa"/>
            <w:vAlign w:val="center"/>
          </w:tcPr>
          <w:p w14:paraId="1DCAA62F" w14:textId="017B3AFB" w:rsidR="00FD70D3" w:rsidRPr="00FD70D3" w:rsidRDefault="00FD70D3" w:rsidP="00FD70D3">
            <w:pPr>
              <w:spacing w:line="360" w:lineRule="auto"/>
              <w:rPr>
                <w:rFonts w:ascii="Aptos" w:hAnsi="Aptos"/>
                <w:bCs/>
                <w:color w:val="1F4E79" w:themeColor="accent5" w:themeShade="80"/>
              </w:rPr>
            </w:pPr>
            <w:r w:rsidRPr="00FD70D3">
              <w:rPr>
                <w:rFonts w:ascii="Aptos" w:hAnsi="Aptos"/>
                <w:bCs/>
                <w:color w:val="1F4E79" w:themeColor="accent5" w:themeShade="80"/>
              </w:rPr>
              <w:t>Lunch</w:t>
            </w:r>
            <w:r w:rsidR="005075A7">
              <w:rPr>
                <w:rFonts w:ascii="Aptos" w:hAnsi="Aptos"/>
                <w:bCs/>
                <w:color w:val="1F4E79" w:themeColor="accent5" w:themeShade="80"/>
              </w:rPr>
              <w:t xml:space="preserve"> and departure </w:t>
            </w:r>
          </w:p>
        </w:tc>
        <w:tc>
          <w:tcPr>
            <w:tcW w:w="3173" w:type="dxa"/>
            <w:vAlign w:val="center"/>
          </w:tcPr>
          <w:p w14:paraId="0256273B" w14:textId="77777777" w:rsidR="00FD70D3" w:rsidRPr="001467F7" w:rsidRDefault="00FD70D3" w:rsidP="00BD1357">
            <w:pPr>
              <w:spacing w:line="360" w:lineRule="auto"/>
              <w:rPr>
                <w:rFonts w:ascii="Aptos" w:hAnsi="Aptos" w:cs="Times New Roman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61D3C4BF" w14:textId="142FC5E1" w:rsidR="00910386" w:rsidRDefault="00910386" w:rsidP="001467F7">
      <w:pPr>
        <w:spacing w:after="0" w:line="360" w:lineRule="auto"/>
        <w:jc w:val="both"/>
        <w:rPr>
          <w:rFonts w:ascii="Aptos" w:hAnsi="Aptos" w:cs="Times New Roman"/>
          <w:color w:val="1F4E79" w:themeColor="accent5" w:themeShade="80"/>
          <w:sz w:val="24"/>
          <w:szCs w:val="24"/>
        </w:rPr>
      </w:pPr>
    </w:p>
    <w:p w14:paraId="75330BC6" w14:textId="79491CE3" w:rsidR="00FD70D3" w:rsidRPr="001467F7" w:rsidRDefault="00FD70D3" w:rsidP="001467F7">
      <w:pPr>
        <w:spacing w:after="0" w:line="360" w:lineRule="auto"/>
        <w:jc w:val="both"/>
        <w:rPr>
          <w:rFonts w:ascii="Aptos" w:hAnsi="Aptos" w:cs="Times New Roman"/>
          <w:color w:val="1F4E79" w:themeColor="accent5" w:themeShade="80"/>
          <w:sz w:val="24"/>
          <w:szCs w:val="24"/>
        </w:rPr>
      </w:pPr>
    </w:p>
    <w:sectPr w:rsidR="00FD70D3" w:rsidRPr="001467F7" w:rsidSect="00712FCD">
      <w:headerReference w:type="default" r:id="rId7"/>
      <w:footerReference w:type="default" r:id="rId8"/>
      <w:pgSz w:w="11906" w:h="16838"/>
      <w:pgMar w:top="1417" w:right="849" w:bottom="1417" w:left="993" w:header="708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164B4" w14:textId="77777777" w:rsidR="00A04F96" w:rsidRDefault="00A04F96" w:rsidP="00D65851">
      <w:pPr>
        <w:spacing w:after="0" w:line="240" w:lineRule="auto"/>
      </w:pPr>
      <w:r>
        <w:separator/>
      </w:r>
    </w:p>
  </w:endnote>
  <w:endnote w:type="continuationSeparator" w:id="0">
    <w:p w14:paraId="643D6D82" w14:textId="77777777" w:rsidR="00A04F96" w:rsidRDefault="00A04F96" w:rsidP="00D6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4D918" w14:textId="77777777" w:rsidR="00EA1F34" w:rsidRDefault="00EA1F34" w:rsidP="00EA1F34">
    <w:pPr>
      <w:pStyle w:val="Footer"/>
      <w:tabs>
        <w:tab w:val="clear" w:pos="4536"/>
        <w:tab w:val="clear" w:pos="9072"/>
        <w:tab w:val="left" w:pos="780"/>
      </w:tabs>
    </w:pPr>
    <w:r>
      <w:tab/>
    </w:r>
  </w:p>
  <w:p w14:paraId="36195053" w14:textId="77777777" w:rsidR="00EA1F34" w:rsidRDefault="00EA1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20E9D" w14:textId="77777777" w:rsidR="00A04F96" w:rsidRDefault="00A04F96" w:rsidP="00D65851">
      <w:pPr>
        <w:spacing w:after="0" w:line="240" w:lineRule="auto"/>
      </w:pPr>
      <w:r>
        <w:separator/>
      </w:r>
    </w:p>
  </w:footnote>
  <w:footnote w:type="continuationSeparator" w:id="0">
    <w:p w14:paraId="75AD4858" w14:textId="77777777" w:rsidR="00A04F96" w:rsidRDefault="00A04F96" w:rsidP="00D6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F419" w14:textId="4AB45F47" w:rsidR="00D65851" w:rsidRDefault="00712FCD" w:rsidP="00712FCD">
    <w:pPr>
      <w:pStyle w:val="Header"/>
      <w:tabs>
        <w:tab w:val="clear" w:pos="4536"/>
        <w:tab w:val="center" w:pos="5245"/>
      </w:tabs>
      <w:ind w:left="-993"/>
    </w:pPr>
    <w:r>
      <w:rPr>
        <w:noProof/>
        <w:lang w:eastAsia="bg-BG"/>
      </w:rPr>
      <w:t xml:space="preserve">          </w:t>
    </w:r>
    <w:r w:rsidR="00F920C7">
      <w:rPr>
        <w:noProof/>
        <w:lang w:val="bg-BG" w:eastAsia="bg-BG"/>
      </w:rPr>
      <w:drawing>
        <wp:inline distT="0" distB="0" distL="0" distR="0" wp14:anchorId="09DEFB13" wp14:editId="4A52AB6C">
          <wp:extent cx="1744499" cy="395850"/>
          <wp:effectExtent l="0" t="0" r="8255" b="4445"/>
          <wp:docPr id="8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203" cy="493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391F" w:rsidRPr="00A4391F">
      <w:rPr>
        <w:noProof/>
        <w:lang w:eastAsia="bg-BG"/>
      </w:rPr>
      <w:t xml:space="preserve">                                                                                                                         </w:t>
    </w:r>
    <w:r w:rsidR="002E250D">
      <w:rPr>
        <w:noProof/>
        <w:lang w:val="bg-BG" w:eastAsia="bg-BG"/>
      </w:rPr>
      <w:drawing>
        <wp:inline distT="0" distB="0" distL="0" distR="0" wp14:anchorId="2FF78A87" wp14:editId="1486F1F8">
          <wp:extent cx="1080654" cy="925763"/>
          <wp:effectExtent l="0" t="0" r="571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GL1.jpe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684" cy="9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E8D"/>
    <w:multiLevelType w:val="multilevel"/>
    <w:tmpl w:val="1C7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4F23"/>
    <w:multiLevelType w:val="hybridMultilevel"/>
    <w:tmpl w:val="6FA6B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74ED"/>
    <w:multiLevelType w:val="hybridMultilevel"/>
    <w:tmpl w:val="4B52FD04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F975241"/>
    <w:multiLevelType w:val="hybridMultilevel"/>
    <w:tmpl w:val="9D4E6A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9FF"/>
    <w:multiLevelType w:val="multilevel"/>
    <w:tmpl w:val="CA3857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F6B86"/>
    <w:multiLevelType w:val="multilevel"/>
    <w:tmpl w:val="6EF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51182"/>
    <w:multiLevelType w:val="hybridMultilevel"/>
    <w:tmpl w:val="9FCCE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7309"/>
    <w:multiLevelType w:val="hybridMultilevel"/>
    <w:tmpl w:val="F682A52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3664"/>
    <w:multiLevelType w:val="multilevel"/>
    <w:tmpl w:val="D30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7064E"/>
    <w:multiLevelType w:val="multilevel"/>
    <w:tmpl w:val="2BF6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731C0"/>
    <w:multiLevelType w:val="hybridMultilevel"/>
    <w:tmpl w:val="F62A46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51F8"/>
    <w:multiLevelType w:val="multilevel"/>
    <w:tmpl w:val="C6BC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C6B91"/>
    <w:multiLevelType w:val="multilevel"/>
    <w:tmpl w:val="CBC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35397"/>
    <w:multiLevelType w:val="hybridMultilevel"/>
    <w:tmpl w:val="1FCC4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E2547"/>
    <w:multiLevelType w:val="hybridMultilevel"/>
    <w:tmpl w:val="B39E28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13773"/>
    <w:multiLevelType w:val="multilevel"/>
    <w:tmpl w:val="CE9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E53AE"/>
    <w:multiLevelType w:val="multilevel"/>
    <w:tmpl w:val="1A8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A5E4C"/>
    <w:multiLevelType w:val="hybridMultilevel"/>
    <w:tmpl w:val="A0C8A0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24D6"/>
    <w:multiLevelType w:val="hybridMultilevel"/>
    <w:tmpl w:val="BBD8ED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11C41"/>
    <w:multiLevelType w:val="hybridMultilevel"/>
    <w:tmpl w:val="4EBC1B7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1010D"/>
    <w:multiLevelType w:val="multilevel"/>
    <w:tmpl w:val="CA3857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7435A"/>
    <w:multiLevelType w:val="multilevel"/>
    <w:tmpl w:val="44D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D11F3"/>
    <w:multiLevelType w:val="hybridMultilevel"/>
    <w:tmpl w:val="B532C7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3389F"/>
    <w:multiLevelType w:val="multilevel"/>
    <w:tmpl w:val="E38E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E3475"/>
    <w:multiLevelType w:val="hybridMultilevel"/>
    <w:tmpl w:val="55FC08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E4CCD"/>
    <w:multiLevelType w:val="hybridMultilevel"/>
    <w:tmpl w:val="4A2875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9"/>
  </w:num>
  <w:num w:numId="5">
    <w:abstractNumId w:val="3"/>
  </w:num>
  <w:num w:numId="6">
    <w:abstractNumId w:val="10"/>
  </w:num>
  <w:num w:numId="7">
    <w:abstractNumId w:val="22"/>
  </w:num>
  <w:num w:numId="8">
    <w:abstractNumId w:val="18"/>
  </w:num>
  <w:num w:numId="9">
    <w:abstractNumId w:val="16"/>
  </w:num>
  <w:num w:numId="10">
    <w:abstractNumId w:val="0"/>
  </w:num>
  <w:num w:numId="11">
    <w:abstractNumId w:val="21"/>
  </w:num>
  <w:num w:numId="12">
    <w:abstractNumId w:val="11"/>
  </w:num>
  <w:num w:numId="13">
    <w:abstractNumId w:val="8"/>
  </w:num>
  <w:num w:numId="14">
    <w:abstractNumId w:val="12"/>
  </w:num>
  <w:num w:numId="15">
    <w:abstractNumId w:val="23"/>
  </w:num>
  <w:num w:numId="16">
    <w:abstractNumId w:val="5"/>
  </w:num>
  <w:num w:numId="17">
    <w:abstractNumId w:val="19"/>
  </w:num>
  <w:num w:numId="18">
    <w:abstractNumId w:val="24"/>
  </w:num>
  <w:num w:numId="19">
    <w:abstractNumId w:val="25"/>
  </w:num>
  <w:num w:numId="20">
    <w:abstractNumId w:val="2"/>
  </w:num>
  <w:num w:numId="21">
    <w:abstractNumId w:val="6"/>
  </w:num>
  <w:num w:numId="22">
    <w:abstractNumId w:val="4"/>
  </w:num>
  <w:num w:numId="23">
    <w:abstractNumId w:val="20"/>
  </w:num>
  <w:num w:numId="24">
    <w:abstractNumId w:val="1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51"/>
    <w:rsid w:val="00015532"/>
    <w:rsid w:val="00061839"/>
    <w:rsid w:val="000678B5"/>
    <w:rsid w:val="000769CA"/>
    <w:rsid w:val="000867A6"/>
    <w:rsid w:val="000942B6"/>
    <w:rsid w:val="0009535D"/>
    <w:rsid w:val="000A76EC"/>
    <w:rsid w:val="000C39BD"/>
    <w:rsid w:val="000C4E38"/>
    <w:rsid w:val="000D414B"/>
    <w:rsid w:val="000D709C"/>
    <w:rsid w:val="000E1BD2"/>
    <w:rsid w:val="000E367B"/>
    <w:rsid w:val="00123960"/>
    <w:rsid w:val="001420BE"/>
    <w:rsid w:val="001467F7"/>
    <w:rsid w:val="00170CA9"/>
    <w:rsid w:val="002059DE"/>
    <w:rsid w:val="00262D1E"/>
    <w:rsid w:val="00263515"/>
    <w:rsid w:val="002644F4"/>
    <w:rsid w:val="00283CF8"/>
    <w:rsid w:val="00293BEF"/>
    <w:rsid w:val="002E250D"/>
    <w:rsid w:val="002F202A"/>
    <w:rsid w:val="002F5768"/>
    <w:rsid w:val="00343167"/>
    <w:rsid w:val="00374AE7"/>
    <w:rsid w:val="00380EC6"/>
    <w:rsid w:val="00384690"/>
    <w:rsid w:val="003C291C"/>
    <w:rsid w:val="003C3878"/>
    <w:rsid w:val="003E033C"/>
    <w:rsid w:val="003E6035"/>
    <w:rsid w:val="003F49E0"/>
    <w:rsid w:val="004020C6"/>
    <w:rsid w:val="004138E7"/>
    <w:rsid w:val="00416E27"/>
    <w:rsid w:val="00450856"/>
    <w:rsid w:val="0045789D"/>
    <w:rsid w:val="004626EC"/>
    <w:rsid w:val="00474FAE"/>
    <w:rsid w:val="0048156A"/>
    <w:rsid w:val="00497066"/>
    <w:rsid w:val="004A1E64"/>
    <w:rsid w:val="004B2A83"/>
    <w:rsid w:val="004B3D68"/>
    <w:rsid w:val="004B4C8A"/>
    <w:rsid w:val="004E25FA"/>
    <w:rsid w:val="004F153F"/>
    <w:rsid w:val="004F6F29"/>
    <w:rsid w:val="005075A7"/>
    <w:rsid w:val="00507E17"/>
    <w:rsid w:val="00520AAE"/>
    <w:rsid w:val="00541626"/>
    <w:rsid w:val="00544BA3"/>
    <w:rsid w:val="00565BB6"/>
    <w:rsid w:val="00580F13"/>
    <w:rsid w:val="00585442"/>
    <w:rsid w:val="005858BD"/>
    <w:rsid w:val="005A23AD"/>
    <w:rsid w:val="005C1757"/>
    <w:rsid w:val="005D7F0B"/>
    <w:rsid w:val="005F1CAE"/>
    <w:rsid w:val="00605E57"/>
    <w:rsid w:val="00625CF0"/>
    <w:rsid w:val="00631FF5"/>
    <w:rsid w:val="00686EEE"/>
    <w:rsid w:val="006A208B"/>
    <w:rsid w:val="006A68ED"/>
    <w:rsid w:val="006D4305"/>
    <w:rsid w:val="006D4E5E"/>
    <w:rsid w:val="006F7AC7"/>
    <w:rsid w:val="007039C7"/>
    <w:rsid w:val="00712FCD"/>
    <w:rsid w:val="00720736"/>
    <w:rsid w:val="007477D7"/>
    <w:rsid w:val="00752D84"/>
    <w:rsid w:val="007707E2"/>
    <w:rsid w:val="007807EC"/>
    <w:rsid w:val="007A233B"/>
    <w:rsid w:val="007A3CE2"/>
    <w:rsid w:val="007C028E"/>
    <w:rsid w:val="007C299B"/>
    <w:rsid w:val="007C6597"/>
    <w:rsid w:val="0083552A"/>
    <w:rsid w:val="00865F44"/>
    <w:rsid w:val="008748E8"/>
    <w:rsid w:val="00885DC4"/>
    <w:rsid w:val="009010D4"/>
    <w:rsid w:val="009062EA"/>
    <w:rsid w:val="00910386"/>
    <w:rsid w:val="0091186D"/>
    <w:rsid w:val="00911DE1"/>
    <w:rsid w:val="00974B2A"/>
    <w:rsid w:val="009910CD"/>
    <w:rsid w:val="009A357D"/>
    <w:rsid w:val="009D4D1D"/>
    <w:rsid w:val="00A04F96"/>
    <w:rsid w:val="00A1324E"/>
    <w:rsid w:val="00A137D7"/>
    <w:rsid w:val="00A41723"/>
    <w:rsid w:val="00A4391F"/>
    <w:rsid w:val="00A44A8B"/>
    <w:rsid w:val="00A453F4"/>
    <w:rsid w:val="00A56395"/>
    <w:rsid w:val="00A565D3"/>
    <w:rsid w:val="00A66C2D"/>
    <w:rsid w:val="00AB32EC"/>
    <w:rsid w:val="00AD3030"/>
    <w:rsid w:val="00B10FA9"/>
    <w:rsid w:val="00B15FC0"/>
    <w:rsid w:val="00B33A3A"/>
    <w:rsid w:val="00B400BA"/>
    <w:rsid w:val="00B4199C"/>
    <w:rsid w:val="00B47583"/>
    <w:rsid w:val="00B509E2"/>
    <w:rsid w:val="00B51272"/>
    <w:rsid w:val="00B5541B"/>
    <w:rsid w:val="00B573D4"/>
    <w:rsid w:val="00B57B39"/>
    <w:rsid w:val="00B61A9F"/>
    <w:rsid w:val="00B65BD5"/>
    <w:rsid w:val="00B65E4A"/>
    <w:rsid w:val="00B97749"/>
    <w:rsid w:val="00BA1D63"/>
    <w:rsid w:val="00BB1808"/>
    <w:rsid w:val="00BD1357"/>
    <w:rsid w:val="00BE39E1"/>
    <w:rsid w:val="00BF2834"/>
    <w:rsid w:val="00C2268E"/>
    <w:rsid w:val="00C22F1D"/>
    <w:rsid w:val="00C327F5"/>
    <w:rsid w:val="00C402DB"/>
    <w:rsid w:val="00C51829"/>
    <w:rsid w:val="00C7615D"/>
    <w:rsid w:val="00CE3DDF"/>
    <w:rsid w:val="00CE66F1"/>
    <w:rsid w:val="00CE694A"/>
    <w:rsid w:val="00D00A15"/>
    <w:rsid w:val="00D20F4D"/>
    <w:rsid w:val="00D2557C"/>
    <w:rsid w:val="00D41609"/>
    <w:rsid w:val="00D420B5"/>
    <w:rsid w:val="00D65602"/>
    <w:rsid w:val="00D65851"/>
    <w:rsid w:val="00D670EB"/>
    <w:rsid w:val="00D726C9"/>
    <w:rsid w:val="00D82C59"/>
    <w:rsid w:val="00DA543C"/>
    <w:rsid w:val="00DB1107"/>
    <w:rsid w:val="00DC2373"/>
    <w:rsid w:val="00DC78D4"/>
    <w:rsid w:val="00DD1552"/>
    <w:rsid w:val="00DD5271"/>
    <w:rsid w:val="00DE076A"/>
    <w:rsid w:val="00E074B0"/>
    <w:rsid w:val="00E15025"/>
    <w:rsid w:val="00E311AB"/>
    <w:rsid w:val="00E47A7F"/>
    <w:rsid w:val="00E77DDC"/>
    <w:rsid w:val="00E83734"/>
    <w:rsid w:val="00EA1F34"/>
    <w:rsid w:val="00EE45A6"/>
    <w:rsid w:val="00EF12E6"/>
    <w:rsid w:val="00F14989"/>
    <w:rsid w:val="00F45278"/>
    <w:rsid w:val="00F6793F"/>
    <w:rsid w:val="00F826E2"/>
    <w:rsid w:val="00F83B4A"/>
    <w:rsid w:val="00F920C7"/>
    <w:rsid w:val="00F962DB"/>
    <w:rsid w:val="00FB2D51"/>
    <w:rsid w:val="00FC5BB5"/>
    <w:rsid w:val="00FD0E7F"/>
    <w:rsid w:val="00FD70D3"/>
    <w:rsid w:val="00FD7E84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8BDB8A"/>
  <w15:chartTrackingRefBased/>
  <w15:docId w15:val="{82D58096-773D-4582-87B9-598C4217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851"/>
  </w:style>
  <w:style w:type="paragraph" w:styleId="Footer">
    <w:name w:val="footer"/>
    <w:basedOn w:val="Normal"/>
    <w:link w:val="FooterChar"/>
    <w:uiPriority w:val="99"/>
    <w:unhideWhenUsed/>
    <w:rsid w:val="00D65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851"/>
  </w:style>
  <w:style w:type="table" w:styleId="TableGrid">
    <w:name w:val="Table Grid"/>
    <w:basedOn w:val="TableNormal"/>
    <w:uiPriority w:val="39"/>
    <w:rsid w:val="005A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D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85D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34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"/>
    <w:rsid w:val="00CE69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Dimka Radeva</cp:lastModifiedBy>
  <cp:revision>4</cp:revision>
  <cp:lastPrinted>2025-03-13T11:31:00Z</cp:lastPrinted>
  <dcterms:created xsi:type="dcterms:W3CDTF">2025-05-22T08:53:00Z</dcterms:created>
  <dcterms:modified xsi:type="dcterms:W3CDTF">2025-05-28T08:26:00Z</dcterms:modified>
</cp:coreProperties>
</file>